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C41DAFD" w14:textId="77777777" w:rsidR="00210FBF" w:rsidRPr="00F622A1" w:rsidRDefault="00210FBF" w:rsidP="00210FB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757AF2D3" w14:textId="77777777" w:rsidR="00210FBF" w:rsidRPr="00B12FCB" w:rsidRDefault="00210FBF" w:rsidP="00210FB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08C27D78" w14:textId="77777777" w:rsidR="00210FBF" w:rsidRPr="00210FBF" w:rsidRDefault="00210FBF" w:rsidP="00210FBF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63CEC219" w14:textId="0AB8B6F2" w:rsidR="0055085E" w:rsidRPr="00210FBF" w:rsidRDefault="007B295F" w:rsidP="00B01073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210FBF">
        <w:rPr>
          <w:rFonts w:cstheme="minorHAnsi"/>
          <w:b/>
          <w:color w:val="17365D" w:themeColor="text2" w:themeShade="BF"/>
          <w:lang w:val="es-EC"/>
        </w:rPr>
        <w:t xml:space="preserve">CLÁUSULA DE </w:t>
      </w:r>
      <w:r w:rsidR="00B01073" w:rsidRPr="00210FBF">
        <w:rPr>
          <w:rFonts w:cstheme="minorHAnsi"/>
          <w:b/>
          <w:color w:val="17365D" w:themeColor="text2" w:themeShade="BF"/>
          <w:lang w:val="es-EC"/>
        </w:rPr>
        <w:t>COBERTURA DE SALVAMENTO</w:t>
      </w:r>
    </w:p>
    <w:p w14:paraId="6909EF04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0BF30E5E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CCFBA12" w14:textId="77777777" w:rsidR="006F2813" w:rsidRDefault="006F2813" w:rsidP="006F2813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highlight w:val="yellow"/>
          <w:lang w:val="es-MX"/>
        </w:rPr>
        <w:t>En consideración al pago de la prima adicional correspondiente,</w:t>
      </w:r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 xml:space="preserve"> queda convenido y declarado que la Póliza arriba citada, a la cual se adhiere esta Cláusula, sujeta a las disposiciones que más adelante se expresan, </w:t>
      </w:r>
      <w:proofErr w:type="gramStart"/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>cubre</w:t>
      </w:r>
      <w:proofErr w:type="gramEnd"/>
      <w:r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  <w:t xml:space="preserve"> además:</w:t>
      </w:r>
    </w:p>
    <w:p w14:paraId="78223F58" w14:textId="77777777" w:rsidR="006F2813" w:rsidRDefault="006F2813" w:rsidP="006F2813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54E50815" w14:textId="77777777" w:rsidR="006F2813" w:rsidRDefault="006F2813" w:rsidP="006F2813">
      <w:pPr>
        <w:pStyle w:val="Textopredeterminado"/>
        <w:spacing w:line="276" w:lineRule="auto"/>
        <w:jc w:val="both"/>
        <w:rPr>
          <w:rFonts w:ascii="Calibri" w:eastAsia="Calibri" w:hAnsi="Calibr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  <w:r>
        <w:rPr>
          <w:rFonts w:ascii="Calibri" w:eastAsia="Calibri" w:hAnsi="Calibri" w:cstheme="minorHAnsi"/>
          <w:snapToGrid w:val="0"/>
          <w:color w:val="17365D" w:themeColor="text2" w:themeShade="BF"/>
          <w:sz w:val="22"/>
          <w:szCs w:val="22"/>
          <w:lang w:val="es-MX" w:eastAsia="en-US"/>
        </w:rPr>
        <w:t>En caso de pérdida o daño, la propiedad salvada donde quiera que la misma pueda estar, conviniendo el Asegurado en notificar a la Compañía, tan pronto como razonablemente le sea posible, sobre la ubicación y valor de tales propiedades salvadas y, a petición de la Compañía, pagar la prima adicional requerida por el aumento de riesgo, si lo hubiere.</w:t>
      </w:r>
    </w:p>
    <w:p w14:paraId="7173E3DE" w14:textId="77777777" w:rsidR="006F2813" w:rsidRDefault="006F2813" w:rsidP="006F2813">
      <w:pPr>
        <w:pStyle w:val="Textopredeterminado"/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608E096A" w:rsidR="007B295F" w:rsidRPr="0019400B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9400B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6F2813" w:rsidRPr="0019400B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19400B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19400B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19400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19400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19400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19400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>EL ASEGURADO</w:t>
      </w:r>
      <w:r w:rsidRPr="0019400B">
        <w:rPr>
          <w:rFonts w:cstheme="minorHAnsi"/>
          <w:b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ab/>
      </w:r>
      <w:r w:rsidRPr="0019400B">
        <w:rPr>
          <w:rFonts w:cstheme="minorHAnsi"/>
          <w:b/>
          <w:color w:val="17365D" w:themeColor="text2" w:themeShade="BF"/>
        </w:rPr>
        <w:tab/>
      </w:r>
      <w:r w:rsidR="0006102A" w:rsidRPr="0019400B">
        <w:rPr>
          <w:rFonts w:cstheme="minorHAnsi"/>
          <w:b/>
          <w:color w:val="17365D" w:themeColor="text2" w:themeShade="BF"/>
        </w:rPr>
        <w:t xml:space="preserve">    </w:t>
      </w:r>
      <w:r w:rsidRPr="0019400B">
        <w:rPr>
          <w:rFonts w:cstheme="minorHAnsi"/>
          <w:b/>
          <w:color w:val="17365D" w:themeColor="text2" w:themeShade="BF"/>
        </w:rPr>
        <w:t>LA COMPAÑÍA</w:t>
      </w:r>
    </w:p>
    <w:p w14:paraId="7CC875CE" w14:textId="5D7A4501" w:rsidR="007B295F" w:rsidRPr="0019400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382C2830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3F341F7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997B943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B310C1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0F41EE6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1284A2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90F1946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416AF3" w14:textId="77777777" w:rsidR="00B01073" w:rsidRPr="0019400B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F065DB1" w:rsidR="0068412E" w:rsidRPr="0019400B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19400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19400B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5D397D88" w:rsidR="001F18A6" w:rsidRPr="008A1FA6" w:rsidRDefault="00EF3F78" w:rsidP="008A1FA6">
      <w:pPr>
        <w:spacing w:before="90" w:after="90"/>
        <w:jc w:val="both"/>
        <w:rPr>
          <w:rFonts w:cstheme="minorHAnsi"/>
          <w:color w:val="002060"/>
        </w:rPr>
      </w:pPr>
      <w:r w:rsidRPr="008A1FA6">
        <w:rPr>
          <w:rFonts w:cstheme="minorHAnsi"/>
          <w:color w:val="002060"/>
        </w:rPr>
        <w:t>La Superintendencia de Compañías, Valores y Seguros, para efectos d</w:t>
      </w:r>
      <w:r w:rsidR="0068412E" w:rsidRPr="008A1FA6">
        <w:rPr>
          <w:rFonts w:cstheme="minorHAnsi"/>
          <w:color w:val="002060"/>
        </w:rPr>
        <w:t xml:space="preserve">e control asignó a la presente </w:t>
      </w:r>
      <w:r w:rsidR="00810EA4" w:rsidRPr="008A1FA6">
        <w:rPr>
          <w:rFonts w:cstheme="minorHAnsi"/>
          <w:color w:val="002060"/>
        </w:rPr>
        <w:t>Cláusula</w:t>
      </w:r>
      <w:r w:rsidRPr="008A1FA6">
        <w:rPr>
          <w:rFonts w:cstheme="minorHAnsi"/>
          <w:color w:val="002060"/>
        </w:rPr>
        <w:t xml:space="preserve"> el nú</w:t>
      </w:r>
      <w:r w:rsidR="0068412E" w:rsidRPr="008A1FA6">
        <w:rPr>
          <w:rFonts w:cstheme="minorHAnsi"/>
          <w:color w:val="002060"/>
        </w:rPr>
        <w:t xml:space="preserve">mero de registro con oficio </w:t>
      </w:r>
      <w:r w:rsidRPr="008A1FA6">
        <w:rPr>
          <w:rFonts w:cstheme="minorHAnsi"/>
          <w:color w:val="002060"/>
        </w:rPr>
        <w:t>No</w:t>
      </w:r>
      <w:r w:rsidR="0068412E" w:rsidRPr="008A1FA6">
        <w:rPr>
          <w:rFonts w:cstheme="minorHAnsi"/>
          <w:color w:val="002060"/>
        </w:rPr>
        <w:t>.</w:t>
      </w:r>
      <w:r w:rsidR="008A1FA6" w:rsidRPr="008A1FA6">
        <w:rPr>
          <w:rFonts w:cstheme="minorHAnsi"/>
          <w:color w:val="002060"/>
        </w:rPr>
        <w:t xml:space="preserve"> </w:t>
      </w:r>
      <w:r w:rsidR="008A1FA6" w:rsidRPr="008A1FA6">
        <w:rPr>
          <w:rFonts w:cstheme="minorHAnsi"/>
          <w:color w:val="002060"/>
        </w:rPr>
        <w:t>SCVS-13-14-CA-266-123004423-2106202</w:t>
      </w:r>
      <w:r w:rsidR="008A1FA6" w:rsidRPr="008A1FA6">
        <w:rPr>
          <w:rFonts w:cstheme="minorHAnsi"/>
          <w:color w:val="002060"/>
        </w:rPr>
        <w:t xml:space="preserve">3 con fecha 21 de junio de 2023. </w:t>
      </w:r>
    </w:p>
    <w:p w14:paraId="2BBC5737" w14:textId="77777777" w:rsidR="0019400B" w:rsidRPr="0019400B" w:rsidRDefault="0019400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9400B" w:rsidRPr="0019400B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B2C5" w14:textId="77777777" w:rsidR="00BF5411" w:rsidRDefault="00BF5411" w:rsidP="005C690A">
      <w:pPr>
        <w:spacing w:after="0" w:line="240" w:lineRule="auto"/>
      </w:pPr>
      <w:r>
        <w:separator/>
      </w:r>
    </w:p>
  </w:endnote>
  <w:endnote w:type="continuationSeparator" w:id="0">
    <w:p w14:paraId="0B34CBAF" w14:textId="77777777" w:rsidR="00BF5411" w:rsidRDefault="00BF541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6A3" w14:textId="77777777" w:rsidR="00BF5411" w:rsidRDefault="00BF5411" w:rsidP="005C690A">
      <w:pPr>
        <w:spacing w:after="0" w:line="240" w:lineRule="auto"/>
      </w:pPr>
      <w:r>
        <w:separator/>
      </w:r>
    </w:p>
  </w:footnote>
  <w:footnote w:type="continuationSeparator" w:id="0">
    <w:p w14:paraId="57C60723" w14:textId="77777777" w:rsidR="00BF5411" w:rsidRDefault="00BF541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1363201">
    <w:abstractNumId w:val="10"/>
  </w:num>
  <w:num w:numId="2" w16cid:durableId="876625969">
    <w:abstractNumId w:val="6"/>
  </w:num>
  <w:num w:numId="3" w16cid:durableId="556086791">
    <w:abstractNumId w:val="3"/>
  </w:num>
  <w:num w:numId="4" w16cid:durableId="1141114650">
    <w:abstractNumId w:val="11"/>
  </w:num>
  <w:num w:numId="5" w16cid:durableId="30081052">
    <w:abstractNumId w:val="9"/>
  </w:num>
  <w:num w:numId="6" w16cid:durableId="1640844701">
    <w:abstractNumId w:val="7"/>
  </w:num>
  <w:num w:numId="7" w16cid:durableId="1599558268">
    <w:abstractNumId w:val="8"/>
  </w:num>
  <w:num w:numId="8" w16cid:durableId="1985773359">
    <w:abstractNumId w:val="16"/>
  </w:num>
  <w:num w:numId="9" w16cid:durableId="1342706147">
    <w:abstractNumId w:val="13"/>
  </w:num>
  <w:num w:numId="10" w16cid:durableId="423460475">
    <w:abstractNumId w:val="14"/>
  </w:num>
  <w:num w:numId="11" w16cid:durableId="1181511943">
    <w:abstractNumId w:val="15"/>
  </w:num>
  <w:num w:numId="12" w16cid:durableId="804276978">
    <w:abstractNumId w:val="5"/>
  </w:num>
  <w:num w:numId="13" w16cid:durableId="1255630633">
    <w:abstractNumId w:val="4"/>
  </w:num>
  <w:num w:numId="14" w16cid:durableId="733504987">
    <w:abstractNumId w:val="1"/>
  </w:num>
  <w:num w:numId="15" w16cid:durableId="2023120453">
    <w:abstractNumId w:val="2"/>
  </w:num>
  <w:num w:numId="16" w16cid:durableId="1993871643">
    <w:abstractNumId w:val="17"/>
  </w:num>
  <w:num w:numId="17" w16cid:durableId="314453034">
    <w:abstractNumId w:val="0"/>
  </w:num>
  <w:num w:numId="18" w16cid:durableId="8228119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3E2C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400B"/>
    <w:rsid w:val="00195C25"/>
    <w:rsid w:val="00195C68"/>
    <w:rsid w:val="001A34AC"/>
    <w:rsid w:val="001E74C7"/>
    <w:rsid w:val="001F18A6"/>
    <w:rsid w:val="00202938"/>
    <w:rsid w:val="00210FBF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08F9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6F2813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A1FA6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57003"/>
    <w:rsid w:val="0096623C"/>
    <w:rsid w:val="00996527"/>
    <w:rsid w:val="009A1CF0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5411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7337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0A68-3CC4-407C-BD55-590CC702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2023-06-27T15:42:00Z</dcterms:created>
  <dcterms:modified xsi:type="dcterms:W3CDTF">2023-06-27T15:42:00Z</dcterms:modified>
</cp:coreProperties>
</file>